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default" w:ascii="Times New Roman" w:hAnsi="Times New Roman" w:eastAsia="仿宋_GB2312" w:cs="Times New Roman"/>
        </w:rPr>
      </w:pPr>
      <w:r>
        <w:rPr>
          <w:rFonts w:hint="eastAsia" w:ascii="方正小标宋_GBK" w:hAnsi="方正小标宋_GBK" w:eastAsia="方正小标宋_GBK" w:cs="方正小标宋_GBK"/>
          <w:sz w:val="44"/>
          <w:szCs w:val="44"/>
        </w:rPr>
        <w:t>中华人民共和国数据安全法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（2021年6月10日第十三届全国人民代表大会常务委员会第二十九次会议通过）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目录</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第一章</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总则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第二章</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数据安全与发展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第三章</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数据安全制度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第四章</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数据安全保护义务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第五章</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政务数据安全与开放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第六章</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法律责任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第七章</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rPr>
        <w:t>附则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eastAsia" w:ascii="黑体" w:hAnsi="黑体" w:eastAsia="黑体" w:cs="黑体"/>
        </w:rPr>
        <w:t>第一章</w:t>
      </w:r>
      <w:r>
        <w:rPr>
          <w:rFonts w:hint="eastAsia" w:ascii="黑体" w:hAnsi="黑体" w:eastAsia="黑体" w:cs="黑体"/>
          <w:lang w:eastAsia="zh-CN"/>
        </w:rPr>
        <w:t xml:space="preserve"> </w:t>
      </w:r>
      <w:r>
        <w:rPr>
          <w:rFonts w:hint="eastAsia" w:ascii="黑体" w:hAnsi="黑体" w:eastAsia="黑体" w:cs="黑体"/>
        </w:rPr>
        <w:t>总则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第一条 为了规范数据处理活动，保障数据安全，促进数据开发利用，保护个人、组织的合法权益，维护国家主权、安全和发展利益，制定本法。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第二条 在中华人民共和国境内开展数据处理活动及其安全监管，适用本法。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在中华人民共和国境外开展数据处理活动，损害中华人民共和国国家安全、公共利益或者公民、组织合法权益的，依法追究法律责任。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第三条 本法所称数据，是指任何以电子或者其他方式对信息的记录。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数据处理，包括数据的收集、存储、使用、加工、传输、提供、公开等。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数据安全，是指通过采取必要措施，确保数据处于有效保护和合法利用的状态，以及具备保障持续安全状态的能力。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第四条 维护数据安全，应当坚持总体国家安全观，建立健全数据安全治理体系，提高数据安全保障能力。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第五条 中央国家安全领导机构负责国家数据安全工作的决策和议事协调，研究制定、指导实施国家数据安全战略和有关重大方针政策，统筹协调国家数据安全的重大事项和重要工作，建立国家数据安全工作协调机制。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第六条 各地区、各部门对本地区、本部门工作中收集和产生的数据及数据安全负责。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工业、电信、交通、金融、自然资源、卫生健康、教育、科技等主管部门承担本行业、本领域数据安全监管职责。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公安机关、国家安全机关等依照本法和有关法律、行政法规的规定，在各自职责范围内承担数据安全监管职责。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国家网信部门依照本法和有关法律、行政法规的规定，负责统筹协调网络数据安全和相关监管工作。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第七条 国家保护个人、组织与数据有关的权益，鼓励数据依法合理有效利用，保障数据依法有序自由流动，促进以数据为关键要素的数字经济发展。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第八条 开展数据处理活动，应当遵守法律、法规，尊重社会公德和伦理，遵守商业道德和职业道德，诚实守信，履行数据安全保护义务，承担社会责任，不得危害国家安全、公共利益，不得损害个人、组织的合法权益。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第九条 国家支持开展数据安全知识宣传普及，提高全社会的数据安全保护意识和水平，推动有关部门、行业组织、科研机构、企业、个人等共同参与数据安全保护工作，形成全社会共同维护数据安全和促进发展的良好环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第十条 相关行业组织按照章程，依法制定数据安全行为规范和团体标准，加强行业自律，指导会员加强数据安全保护，提高数据安全保护水平，促进行业健康发展。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第十一条 国家积极开展数据安全治理、数据开发利用等领域的国际交流与合作，参与数据安全相关国际规则和标准的制定，促进数据跨境安全、自由流动。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第十二条 任何个人、组织都有权对违反本法规定的行为向有关主管部门投诉、举报。收到投诉、举报的部门应当及时依法处理。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有关主管部门应当对投诉、举报人的相关信息予以保密，保护投诉、举报人的合法权益。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eastAsia" w:ascii="黑体" w:hAnsi="黑体" w:eastAsia="黑体" w:cs="黑体"/>
        </w:rPr>
        <w:t>第二章</w:t>
      </w:r>
      <w:r>
        <w:rPr>
          <w:rFonts w:hint="eastAsia" w:ascii="黑体" w:hAnsi="黑体" w:eastAsia="黑体" w:cs="黑体"/>
          <w:lang w:eastAsia="zh-CN"/>
        </w:rPr>
        <w:t xml:space="preserve"> </w:t>
      </w:r>
      <w:r>
        <w:rPr>
          <w:rFonts w:hint="eastAsia" w:ascii="黑体" w:hAnsi="黑体" w:eastAsia="黑体" w:cs="黑体"/>
        </w:rPr>
        <w:t>数据安全与发展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第十三条 国家统筹发展和安全，坚持以数据开发利用和产业发展促进数据安全，以数据安全保障数据开发利用和产业发展。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第十四条 国家实施大数据战略，推进数据基础设施建设，鼓励和支持数据在各行业、各领域的创新应用。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省级以上人民政府应当将数字经济发展纳入本级国民经济和社会发展规划，并根据需要制定数字经济发展规划。</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第十五条 国家支持开发利用数据提升公共服务的智能化水平。提供智能化公共服务，应当充分考虑老年人、残疾人的需求，避免对老年人、残疾人的日常生活造成障碍。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第十六条 国家支持数据开发利用和数据安全技术研究，鼓励数据开发利用和数据安全等领域的技术推广和商业创新，培育、发展数据开发利用和数据安全产品、产业体系。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第十七条 国家推进数据开发利用技术和数据安全标准体系建设。国务院标准化行政主管部门和国务院有关部门根据各自的职责，组织制定并适时修订有关数据开发利用技术、产品和数据安全相关标准。国家支持企业、社会团体和教育、科研机构等参与标准制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第十八条 国家促进数据安全检测评估、认证等服务的发展，支持数据安全检测评估、认证等专业机构依法开展服务活动。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国家支持有关部门、行业组织、企业、教育和科研机构、有关专业机构等在数据安全风险评估、防范、处置等方面开展协作。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第十九条 国家建立健全数据交易管理制度，规范数据交易行为，培育数据交易市场。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第二十条 国家支持教育、科研机构和企业等开展数据开发利用技术和数据安全相关教育和培训，采取多种方式培养数据开发利用技术和数据安全专业人才，促进人才交流。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eastAsia" w:ascii="黑体" w:hAnsi="黑体" w:eastAsia="黑体" w:cs="黑体"/>
        </w:rPr>
        <w:t>第三章</w:t>
      </w:r>
      <w:r>
        <w:rPr>
          <w:rFonts w:hint="eastAsia" w:ascii="黑体" w:hAnsi="黑体" w:eastAsia="黑体" w:cs="黑体"/>
          <w:lang w:eastAsia="zh-CN"/>
        </w:rPr>
        <w:t xml:space="preserve"> </w:t>
      </w:r>
      <w:r>
        <w:rPr>
          <w:rFonts w:hint="eastAsia" w:ascii="黑体" w:hAnsi="黑体" w:eastAsia="黑体" w:cs="黑体"/>
        </w:rPr>
        <w:t>数据安全制度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第二十一条 国家建立数据分类分级保护制度，根据数据在经济社会发展中的重要程度，以及一旦遭到篡改、破坏、泄露或者非法获取、非法利用，对国家安全、公共利益或者个人、组织合法权益造成的危害程度，对数据实行分类分级保护。国家数据安全工作协调机制统筹协调有关部门制定重要数据目录，加强对重要数据的保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关系国家安全、国民经济命脉、重要民生、重大公共利益等数据属于国家核心数据，实行更加严格的管理制度。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各地区、各部门应当按照数据分类分级保护制度，确定本地区、本部门以及相关行业、领域的重要数据具体目录，对列入目录的数据进行重点保护。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第二十二条 国家建立集中统一、高效权威的数据安全风险评估、报告、信息共享、监测预警机制。国家数据安全工作协调机制统筹协调有关部门加强数据安全风险信息的获取、分析、研判、预警工作。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第二十三条 国家建立数据安全应急处置机制。发生数据安全事件，有关主管部门应当依法启动应急预案，采取相应的应急处置措施，防止危害扩大，消除安全隐患，并及时向社会发布与公众有关的警示信息。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第二十四条 国家建立数据安全审查制度，对影响或者可能影响国家安全的数据处理活动进行国家安全审查。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依法作出的安全审查决定为最终决定。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第二十五条 国家对与维护国家安全和利益、履行国际义务相关的属于管制物项的数据依法实施出口管制。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第二十六条 任何国家或者地区在与数据和数据开发利用技术等有关的投资、贸易等方面对中华人民共和国采取歧视性的禁止、限制或者其他类似措施的，中华人民共和国可以根据实际情况对该国家或者地区对等采取措施。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eastAsia" w:ascii="黑体" w:hAnsi="黑体" w:eastAsia="黑体" w:cs="黑体"/>
        </w:rPr>
        <w:t>第四章</w:t>
      </w:r>
      <w:r>
        <w:rPr>
          <w:rFonts w:hint="eastAsia" w:ascii="黑体" w:hAnsi="黑体" w:eastAsia="黑体" w:cs="黑体"/>
          <w:lang w:eastAsia="zh-CN"/>
        </w:rPr>
        <w:t xml:space="preserve"> </w:t>
      </w:r>
      <w:r>
        <w:rPr>
          <w:rFonts w:hint="eastAsia" w:ascii="黑体" w:hAnsi="黑体" w:eastAsia="黑体" w:cs="黑体"/>
        </w:rPr>
        <w:t>数据安全保护义务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第二十七条 开展数据处理活动应当依照法律、法规的规定，建立健全全流程数据安全管理制度，组织开展数据安全教育培训，采取相应的技术措施和其他必要措施，保障数据安全。利用互联网等信息网络开展数据处理活动，应当在网络安全等级保护制度的基础上，履行上述数据安全保护义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重要数据的处理者应当明确数据安全负责人和管理机构，落实数据安全保护责任。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第二十八条 开展数据处理活动以及研究开发数据新技术，应当有利于促进经济社会发展，增进人民福祉，符合社会公德和伦理。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第二十九条 开展数据处理活动应当加强风险监测，发现数据安全缺陷、漏洞等风险时，应当立即采取补救措施；发生数据安全事件时，应当立即采取处置措施，按照规定及时告知用户并向有关主管部门报告。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第三十条 重要数据的处理者应当按照规定对其数据处理活动定期开展风险评估，并向有关主管部门报送风险评估报告。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风险评估报告应当包括处理的重要数据的种类、数量，开展数据处理活动的情况，面临的数据安全风险及其应对措施等。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第三十一条 关键信息基础设施的运营者在中华人民共和国境内运营中收集和产生的重要数据的出境安全管理，适用《中华人民共和国网络安全法》的规定；其他数据处理者在中华人民共和国境内运营中收集和产生的重要数据的出境安全管理办法，由国家网信部门会同国务院有关部门制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第三十二条 任何组织、个人收集数据，应当采取合法、正当的方式，不得窃取或者以其他非法方式获取数据。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法律、行政法规对收集、使用数据的目的、范围有规定的，应当在法律、行政法规规定的目的和范围内收集、使用数据。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第三十三条 从事数据交易中介服务的机构提供服务，应当要求数据提供方说明数据来源，审核交易双方的身份，并留存审核、交易记录。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第三十四条 法律、行政法规规定提供数据处理相关服务应当取得行政许可的，服务提供者应当依法取得许可。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第三十五条 公安机关、国家安全机关因依法维护国家安全或者侦查犯罪的需要调取数据，应当按照国家有关规定，经过严格的批准手续，依法进行，有关组织、个人应当予以配合。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第三十六条 中华人民共和国主管机关根据有关法律和中华人民共和国缔结或者参加的国际条约、协定，或者按照平等互惠原则，处理外国司法或者执法机构关于提供数据的请求。非经中华人民共和国主管机关批准，境内的组织、个人不得向外国司法或者执法机构提供存储于中华人民共和国境内的数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eastAsia" w:ascii="黑体" w:hAnsi="黑体" w:eastAsia="黑体" w:cs="黑体"/>
        </w:rPr>
        <w:t>第五章</w:t>
      </w:r>
      <w:r>
        <w:rPr>
          <w:rFonts w:hint="eastAsia" w:ascii="黑体" w:hAnsi="黑体" w:eastAsia="黑体" w:cs="黑体"/>
          <w:lang w:eastAsia="zh-CN"/>
        </w:rPr>
        <w:t xml:space="preserve"> </w:t>
      </w:r>
      <w:r>
        <w:rPr>
          <w:rFonts w:hint="eastAsia" w:ascii="黑体" w:hAnsi="黑体" w:eastAsia="黑体" w:cs="黑体"/>
        </w:rPr>
        <w:t>政务数据安全与开放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第三十七条 国家大力推进电子政务建设，提高政务数据的科学性、准确性、时效性，提升运用数据服务经济社会发展的能力。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第三十八条 国家机关为履行法定职责的需要收集、使用数据，应当在其履行法定职责的范围内依照法律、行政法规规定的条件和程序进行；对在履行职责中知悉的个人隐私、个人信息、商业秘密、保密商务信息等数据应当依法予以保密，不得泄露或者非法向他人提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第三十九条 国家机关应当依照法律、行政法规的规定，建立健全数据安全管理制度，落实数据安全保护责任，保障政务数据安全。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第四十条 国家机关委托他人建设、维护电子政务系统，存储、加工政务数据，应当经过严格的批准程序，并应当监督受托方履行相应的数据安全保护义务。受托方应当依照法律、法规的规定和合同约定履行数据安全保护义务，不得擅自留存、使用、泄露或者向他人提供政务数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第四十一条 国家机关应当遵循公正、公平、便民的原则，按照规定及时、准确地公开政务数据。依法不予公开的除外。</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第四十二条 国家制定政务数据开放目录，构建统一规范、互联互通、安全可控的政务数据开放平台，推动政务数据开放利用。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第四十三条 法律、法规授权的具有管理公共事务职能的组织为履行法定职责开展数据处理活动，适用本章规定。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eastAsia" w:ascii="黑体" w:hAnsi="黑体" w:eastAsia="黑体" w:cs="黑体"/>
        </w:rPr>
        <w:t>第六章</w:t>
      </w:r>
      <w:r>
        <w:rPr>
          <w:rFonts w:hint="eastAsia" w:ascii="黑体" w:hAnsi="黑体" w:eastAsia="黑体" w:cs="黑体"/>
          <w:lang w:eastAsia="zh-CN"/>
        </w:rPr>
        <w:t xml:space="preserve"> </w:t>
      </w:r>
      <w:r>
        <w:rPr>
          <w:rFonts w:hint="eastAsia" w:ascii="黑体" w:hAnsi="黑体" w:eastAsia="黑体" w:cs="黑体"/>
        </w:rPr>
        <w:t>法律责任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第四十四条 有关主管部门在履行数据安全监管职责中，发现数据处理活动存在较大安全风险的，可以按照规定的权限和程序对有关组织、个人进行约谈，并要求有关组织、个人采取措施进行整改，消除隐患。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第四十五条 开展数据处理活动的组织、个人不履行本法第二十七条、第二十九条、第三十条规定的数据安全保护义务的，由有关主管部门责令改正，给予警告，可以并处五万元以上五十万元以下罚款，对直接负责的主管人员和其他直接责任人员可以处一万元以上十万元以下罚款；拒不改正或者造成大量数据泄露等严重后果的，处五十万元以上二百万元以下罚款，并可以责令暂停相关业务、停业整顿、吊销相关业务许可证或者吊销营业执照，对直接负责的主管人员和其他直接责任人员处五万元以上二十万元以下罚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违反国家核心数据管理制度，危害国家主权、安全和发展利益的，由有关主管部门处二百万元以上一千万元以下罚款，并根据情况责令暂停相关业务、停业整顿、吊销相关业务许可证或者吊销营业执照；构成犯罪的，依法追究刑事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第四十六条 违反本法第三十一条规定，向境外提供重要数据的，由有关主管部门责令改正，给予警告，可以并处十万元以上一百万元以下罚款，对直接负责的主管人员和其他直接责任人员可以处一万元以上十万元以下罚款；情节严重的，处一百万元以上一千万元以下罚款，并可以责令暂停相关业务、停业整顿、吊销相关业务许可证或者吊销营业执照，对直接负责的主管人员和其他直接责任人员处十万元以上一百万元以下罚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第四十七条 从事数据交易中介服务的机构未履行本法第三十三条规定的义务的，由有关主管部门责令改正，没收违法所得，处违法所得一倍以上十倍以下罚款，没有违法所得或者违法所得不足十万元的，处十万元以上一百万元以下罚款，并可以责令暂停相关业务、停业整顿、吊销相关业务许可证或者吊销营业执照；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第四十八条 违反本法第三十五条规定，拒不配合数据调取的，由有关主管部门责令改正，给予警告，并处五万元以上五十万元以下罚款，对直接负责的主管人员和其他直接责任人员处一万元以上十万元以下罚款。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违反本法第三十六条规定，未经主管机关批准向外国司法或者执法机构提供数据的，由有关主管部门给予警告，可以并处十万元以上一百万元以下罚款，对直接负责的主管人员和其他直接责任人员可以处一万元以上十万元以下罚款；造成严重后果的，处一百万元以上五百万元以下罚款，并可以责令暂停相关业务、停业整顿、吊销相关业务许可证或者吊销营业执照，对直接负责的主管人员和其他直接责任人员处五万元以上五十万元以下罚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第四十九条 国家机关不履行本法规定的数据安全保护义务的，对直接负责的主管人员和其他直接责任人员依法给予处分。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第五十条 履行数据安全监管职责的国家工作人员玩忽职守、滥用职权、徇私舞弊的，依法给予处分。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第五十一条 窃取或者以其他非法方式获取数据，开展数据处理活动排除、限制竞争，或者损害个人、组织合法权益的，依照有关法律、行政法规的规定处罚。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第五十二条 违反本法规定，给他人造成损害的，依法承担民事责任。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违反本法规定，构成违反治安管理行为的，依法给予治安管理处罚；构成犯罪的，依法追究刑事责任。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eastAsia" w:ascii="黑体" w:hAnsi="黑体" w:eastAsia="黑体" w:cs="黑体"/>
        </w:rPr>
        <w:t>第七章</w:t>
      </w:r>
      <w:r>
        <w:rPr>
          <w:rFonts w:hint="eastAsia" w:ascii="黑体" w:hAnsi="黑体" w:eastAsia="黑体" w:cs="黑体"/>
          <w:lang w:eastAsia="zh-CN"/>
        </w:rPr>
        <w:t xml:space="preserve"> </w:t>
      </w:r>
      <w:r>
        <w:rPr>
          <w:rFonts w:hint="eastAsia" w:ascii="黑体" w:hAnsi="黑体" w:eastAsia="黑体" w:cs="黑体"/>
        </w:rPr>
        <w:t>附则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第五十三条 开展涉及国家秘密的数据处理活动，适用《中华人民共和国保守国家秘密法》等法律、行政法规的规定。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在统计、档案工作中开展数据处理活动，开展涉及个人信息的数据处理活动，还应当遵守有关法律、行政法规的规定。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第五十四条 军事数据安全保护的办法，由中央军事委员会依据本法另行制定。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第五十五条 本法自2021年9月1日起施行。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Georgia">
    <w:panose1 w:val="02040502050405020303"/>
    <w:charset w:val="00"/>
    <w:family w:val="auto"/>
    <w:pitch w:val="default"/>
    <w:sig w:usb0="000002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microsoftyahei bold">
    <w:altName w:val="Segoe Print"/>
    <w:panose1 w:val="00000000000000000000"/>
    <w:charset w:val="00"/>
    <w:family w:val="auto"/>
    <w:pitch w:val="default"/>
    <w:sig w:usb0="00000000" w:usb1="00000000" w:usb2="00000000" w:usb3="00000000" w:csb0="00000000" w:csb1="00000000"/>
  </w:font>
  <w:font w:name="Heiti SC">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DFPKingGothicGB-Regular">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4"/>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hyphenationZone w:val="360"/>
  <w:evenAndOddHeaders w:val="1"/>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2F7753E6"/>
    <w:rsid w:val="3258761C"/>
    <w:rsid w:val="3C652638"/>
    <w:rsid w:val="44BC0EEC"/>
    <w:rsid w:val="482A39F4"/>
    <w:rsid w:val="4DC66BDB"/>
    <w:rsid w:val="4FCA05AA"/>
    <w:rsid w:val="56755F92"/>
    <w:rsid w:val="653A70E2"/>
    <w:rsid w:val="6BC53AD1"/>
    <w:rsid w:val="6C1E17DE"/>
    <w:rsid w:val="72406E3D"/>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2"/>
    <w:qFormat/>
    <w:uiPriority w:val="0"/>
    <w:pPr>
      <w:keepNext/>
      <w:keepLines/>
      <w:spacing w:before="260" w:after="260" w:line="416" w:lineRule="auto"/>
      <w:outlineLvl w:val="2"/>
    </w:pPr>
    <w:rPr>
      <w:b/>
      <w:bCs/>
      <w:szCs w:val="32"/>
    </w:rPr>
  </w:style>
  <w:style w:type="character" w:default="1" w:styleId="15">
    <w:name w:val="Default Paragraph Font"/>
    <w:semiHidden/>
    <w:qFormat/>
    <w:uiPriority w:val="0"/>
  </w:style>
  <w:style w:type="table" w:default="1" w:styleId="2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6"/>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3"/>
    <w:qFormat/>
    <w:uiPriority w:val="99"/>
    <w:pPr>
      <w:tabs>
        <w:tab w:val="center" w:pos="4153"/>
        <w:tab w:val="right" w:pos="8306"/>
      </w:tabs>
      <w:snapToGrid w:val="0"/>
      <w:jc w:val="left"/>
    </w:pPr>
    <w:rPr>
      <w:sz w:val="18"/>
      <w:szCs w:val="18"/>
    </w:rPr>
  </w:style>
  <w:style w:type="paragraph" w:styleId="9">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8"/>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Normal (Web)"/>
    <w:basedOn w:val="1"/>
    <w:qFormat/>
    <w:uiPriority w:val="0"/>
    <w:rPr>
      <w:sz w:val="24"/>
    </w:rPr>
  </w:style>
  <w:style w:type="paragraph" w:styleId="14">
    <w:name w:val="Title"/>
    <w:basedOn w:val="1"/>
    <w:next w:val="1"/>
    <w:link w:val="30"/>
    <w:qFormat/>
    <w:uiPriority w:val="0"/>
    <w:pPr>
      <w:spacing w:before="240" w:after="60"/>
      <w:jc w:val="center"/>
      <w:outlineLvl w:val="0"/>
    </w:pPr>
    <w:rPr>
      <w:rFonts w:ascii="Cambria" w:hAnsi="Cambria" w:eastAsia="宋体"/>
      <w:b/>
      <w:bCs/>
      <w:szCs w:val="32"/>
    </w:rPr>
  </w:style>
  <w:style w:type="character" w:styleId="16">
    <w:name w:val="Strong"/>
    <w:qFormat/>
    <w:uiPriority w:val="0"/>
    <w:rPr>
      <w:b/>
      <w:bCs/>
    </w:rPr>
  </w:style>
  <w:style w:type="character" w:styleId="17">
    <w:name w:val="page number"/>
    <w:basedOn w:val="15"/>
    <w:qFormat/>
    <w:uiPriority w:val="0"/>
  </w:style>
  <w:style w:type="character" w:styleId="18">
    <w:name w:val="FollowedHyperlink"/>
    <w:qFormat/>
    <w:uiPriority w:val="0"/>
    <w:rPr>
      <w:color w:val="800080"/>
      <w:u w:val="single"/>
    </w:rPr>
  </w:style>
  <w:style w:type="character" w:styleId="19">
    <w:name w:val="Emphasis"/>
    <w:qFormat/>
    <w:uiPriority w:val="0"/>
    <w:rPr>
      <w:i/>
      <w:iCs/>
    </w:rPr>
  </w:style>
  <w:style w:type="character" w:styleId="20">
    <w:name w:val="Hyperlink"/>
    <w:qFormat/>
    <w:uiPriority w:val="99"/>
    <w:rPr>
      <w:rFonts w:hint="default" w:ascii="ˎ̥" w:hAnsi="ˎ̥"/>
      <w:color w:val="0404B3"/>
      <w:sz w:val="18"/>
      <w:szCs w:val="18"/>
      <w:u w:val="none"/>
    </w:rPr>
  </w:style>
  <w:style w:type="character" w:customStyle="1" w:styleId="22">
    <w:name w:val="标题 2 Char"/>
    <w:link w:val="3"/>
    <w:qFormat/>
    <w:uiPriority w:val="9"/>
    <w:rPr>
      <w:rFonts w:ascii="Cambria" w:hAnsi="Cambria"/>
      <w:b/>
      <w:bCs/>
      <w:kern w:val="2"/>
      <w:sz w:val="32"/>
      <w:szCs w:val="32"/>
    </w:rPr>
  </w:style>
  <w:style w:type="paragraph" w:customStyle="1" w:styleId="23">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4">
    <w:name w:val="1.1"/>
    <w:basedOn w:val="4"/>
    <w:link w:val="31"/>
    <w:qFormat/>
    <w:uiPriority w:val="0"/>
    <w:pPr>
      <w:numPr>
        <w:ilvl w:val="1"/>
        <w:numId w:val="1"/>
      </w:numPr>
      <w:ind w:firstLine="0"/>
      <w:jc w:val="left"/>
    </w:pPr>
    <w:rPr>
      <w:rFonts w:ascii="Calibri" w:hAnsi="Calibri" w:eastAsia="宋体"/>
      <w:sz w:val="30"/>
    </w:rPr>
  </w:style>
  <w:style w:type="character" w:customStyle="1" w:styleId="25">
    <w:name w:val="页眉 Char"/>
    <w:link w:val="9"/>
    <w:qFormat/>
    <w:uiPriority w:val="99"/>
    <w:rPr>
      <w:rFonts w:eastAsia="仿宋_GB2312"/>
      <w:kern w:val="2"/>
      <w:sz w:val="18"/>
      <w:szCs w:val="18"/>
    </w:rPr>
  </w:style>
  <w:style w:type="character" w:customStyle="1" w:styleId="26">
    <w:name w:val="纯文本 Char"/>
    <w:link w:val="6"/>
    <w:qFormat/>
    <w:uiPriority w:val="99"/>
    <w:rPr>
      <w:rFonts w:ascii="宋体" w:hAnsi="Courier New" w:cs="Courier New"/>
      <w:kern w:val="2"/>
      <w:sz w:val="21"/>
      <w:szCs w:val="21"/>
    </w:rPr>
  </w:style>
  <w:style w:type="character" w:customStyle="1" w:styleId="27">
    <w:name w:val="纯文本 Char1"/>
    <w:qFormat/>
    <w:uiPriority w:val="0"/>
    <w:rPr>
      <w:rFonts w:ascii="宋体" w:hAnsi="Courier New" w:cs="Courier New"/>
      <w:kern w:val="2"/>
      <w:sz w:val="21"/>
      <w:szCs w:val="21"/>
    </w:rPr>
  </w:style>
  <w:style w:type="character" w:customStyle="1" w:styleId="28">
    <w:name w:val="副标题 Char"/>
    <w:link w:val="11"/>
    <w:qFormat/>
    <w:uiPriority w:val="0"/>
    <w:rPr>
      <w:rFonts w:ascii="Cambria" w:hAnsi="Cambria" w:cs="Times New Roman"/>
      <w:b/>
      <w:bCs/>
      <w:kern w:val="28"/>
      <w:sz w:val="32"/>
      <w:szCs w:val="32"/>
    </w:rPr>
  </w:style>
  <w:style w:type="character" w:customStyle="1" w:styleId="29">
    <w:name w:val="标题 1 Char"/>
    <w:link w:val="2"/>
    <w:qFormat/>
    <w:uiPriority w:val="0"/>
    <w:rPr>
      <w:rFonts w:eastAsia="仿宋_GB2312"/>
      <w:b/>
      <w:bCs/>
      <w:kern w:val="44"/>
      <w:sz w:val="44"/>
      <w:szCs w:val="44"/>
    </w:rPr>
  </w:style>
  <w:style w:type="character" w:customStyle="1" w:styleId="30">
    <w:name w:val="标题 Char"/>
    <w:link w:val="14"/>
    <w:qFormat/>
    <w:uiPriority w:val="0"/>
    <w:rPr>
      <w:rFonts w:ascii="Cambria" w:hAnsi="Cambria" w:cs="Times New Roman"/>
      <w:b/>
      <w:bCs/>
      <w:kern w:val="2"/>
      <w:sz w:val="32"/>
      <w:szCs w:val="32"/>
    </w:rPr>
  </w:style>
  <w:style w:type="character" w:customStyle="1" w:styleId="31">
    <w:name w:val="1.1 Char"/>
    <w:link w:val="24"/>
    <w:qFormat/>
    <w:uiPriority w:val="0"/>
    <w:rPr>
      <w:rFonts w:ascii="Calibri" w:hAnsi="Calibri"/>
      <w:b/>
      <w:bCs/>
      <w:kern w:val="2"/>
      <w:sz w:val="30"/>
      <w:szCs w:val="32"/>
    </w:rPr>
  </w:style>
  <w:style w:type="character" w:customStyle="1" w:styleId="32">
    <w:name w:val="标题 3 Char"/>
    <w:link w:val="4"/>
    <w:semiHidden/>
    <w:qFormat/>
    <w:uiPriority w:val="0"/>
    <w:rPr>
      <w:rFonts w:eastAsia="仿宋_GB2312"/>
      <w:b/>
      <w:bCs/>
      <w:kern w:val="2"/>
      <w:sz w:val="32"/>
      <w:szCs w:val="32"/>
    </w:rPr>
  </w:style>
  <w:style w:type="character" w:customStyle="1" w:styleId="33">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ScaleCrop>false</ScaleCrop>
  <LinksUpToDate>false</LinksUpToDate>
  <CharactersWithSpaces>14441</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DELL</cp:lastModifiedBy>
  <cp:lastPrinted>2016-11-15T16:26:00Z</cp:lastPrinted>
  <dcterms:modified xsi:type="dcterms:W3CDTF">2022-04-07T02:03:22Z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